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9" w:rsidRDefault="00C428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28A9" w:rsidRDefault="00C428A9">
      <w:pPr>
        <w:pStyle w:val="ConsPlusNormal"/>
        <w:jc w:val="both"/>
        <w:outlineLvl w:val="0"/>
      </w:pPr>
    </w:p>
    <w:p w:rsidR="00C428A9" w:rsidRDefault="00C428A9">
      <w:pPr>
        <w:pStyle w:val="ConsPlusNormal"/>
        <w:outlineLvl w:val="0"/>
      </w:pPr>
      <w:r>
        <w:t>Зарегистрировано в Минюсте России 30 ноября 2022 г. N 71254</w:t>
      </w:r>
    </w:p>
    <w:p w:rsidR="00C428A9" w:rsidRDefault="00C428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A9" w:rsidRDefault="00C428A9">
      <w:pPr>
        <w:pStyle w:val="ConsPlusNormal"/>
        <w:jc w:val="both"/>
      </w:pPr>
    </w:p>
    <w:p w:rsidR="00C428A9" w:rsidRDefault="00C428A9">
      <w:pPr>
        <w:pStyle w:val="ConsPlusTitle"/>
        <w:jc w:val="center"/>
      </w:pPr>
      <w:r>
        <w:t>МИНИСТЕРСТВО ТРАНСПОРТА РОССИЙСКОЙ ФЕДЕРАЦИИ</w:t>
      </w:r>
    </w:p>
    <w:p w:rsidR="00C428A9" w:rsidRDefault="00C428A9">
      <w:pPr>
        <w:pStyle w:val="ConsPlusTitle"/>
        <w:jc w:val="center"/>
      </w:pPr>
    </w:p>
    <w:p w:rsidR="00C428A9" w:rsidRDefault="00C428A9">
      <w:pPr>
        <w:pStyle w:val="ConsPlusTitle"/>
        <w:jc w:val="center"/>
      </w:pPr>
      <w:r>
        <w:t>ПРИКАЗ</w:t>
      </w:r>
    </w:p>
    <w:p w:rsidR="00C428A9" w:rsidRDefault="00C428A9">
      <w:pPr>
        <w:pStyle w:val="ConsPlusTitle"/>
        <w:jc w:val="center"/>
      </w:pPr>
      <w:r>
        <w:t>от 18 октября 2022 г. N 418</w:t>
      </w:r>
    </w:p>
    <w:p w:rsidR="00C428A9" w:rsidRDefault="00C428A9">
      <w:pPr>
        <w:pStyle w:val="ConsPlusTitle"/>
        <w:jc w:val="center"/>
      </w:pPr>
    </w:p>
    <w:p w:rsidR="00C428A9" w:rsidRDefault="00C428A9">
      <w:pPr>
        <w:pStyle w:val="ConsPlusTitle"/>
        <w:jc w:val="center"/>
      </w:pPr>
      <w:r>
        <w:t>ОБ УТВЕРЖДЕНИИ ПОРЯДКА</w:t>
      </w:r>
    </w:p>
    <w:p w:rsidR="00C428A9" w:rsidRDefault="00C428A9">
      <w:pPr>
        <w:pStyle w:val="ConsPlusTitle"/>
        <w:jc w:val="center"/>
      </w:pPr>
      <w:r>
        <w:t>ВЫДАЧИ СПЕЦИАЛЬНОГО РАЗРЕШЕНИЯ НА ДВИЖЕНИЕ ПО АВТОМОБИЛЬНЫМ</w:t>
      </w:r>
    </w:p>
    <w:p w:rsidR="00C428A9" w:rsidRDefault="00C428A9">
      <w:pPr>
        <w:pStyle w:val="ConsPlusTitle"/>
        <w:jc w:val="center"/>
      </w:pPr>
      <w:r>
        <w:t>ДОРОГАМ ТЯЖЕЛОВЕСНОГО И (ИЛИ) КРУПНОГАБАРИТНОГО</w:t>
      </w:r>
    </w:p>
    <w:p w:rsidR="00C428A9" w:rsidRDefault="00C428A9">
      <w:pPr>
        <w:pStyle w:val="ConsPlusTitle"/>
        <w:jc w:val="center"/>
      </w:pPr>
      <w:r>
        <w:t>ТРАНСПОРТНОГО СРЕДСТВА</w:t>
      </w:r>
    </w:p>
    <w:p w:rsidR="00C428A9" w:rsidRDefault="00C428A9">
      <w:pPr>
        <w:pStyle w:val="ConsPlusNormal"/>
        <w:jc w:val="both"/>
      </w:pPr>
    </w:p>
    <w:p w:rsidR="00C428A9" w:rsidRDefault="00C428A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13.1 статьи 11</w:t>
        </w:r>
      </w:hyperlink>
      <w:r>
        <w:t xml:space="preserve">, </w:t>
      </w:r>
      <w:hyperlink r:id="rId6">
        <w:r>
          <w:rPr>
            <w:color w:val="0000FF"/>
          </w:rPr>
          <w:t>частью 9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2015, N 29, ст. 4374; 2022, N 16, ст. 2594), </w:t>
      </w:r>
      <w:hyperlink r:id="rId7">
        <w:r>
          <w:rPr>
            <w:color w:val="0000FF"/>
          </w:rPr>
          <w:t>пунктом 1 статьи 3</w:t>
        </w:r>
      </w:hyperlink>
      <w:r>
        <w:t xml:space="preserve">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3805; 2022, N 16, ст. 2594) и </w:t>
      </w:r>
      <w:hyperlink r:id="rId8">
        <w:r>
          <w:rPr>
            <w:color w:val="0000FF"/>
          </w:rPr>
          <w:t>подпунктом 5.2.53.30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14, ст. 2098), приказываю: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C428A9" w:rsidRDefault="00C428A9">
      <w:pPr>
        <w:pStyle w:val="ConsPlusNormal"/>
        <w:spacing w:before="28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21 сентября 2016 г. N 272 "Об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</w:t>
      </w:r>
      <w:r>
        <w:lastRenderedPageBreak/>
        <w:t>автомобильные перевозки грузов, в том числе по постоянным маршрутам, и о внесении изменений в приказ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21 марта 2017 г., регистрационный N 46064);</w:t>
      </w:r>
    </w:p>
    <w:p w:rsidR="00C428A9" w:rsidRDefault="00C428A9">
      <w:pPr>
        <w:pStyle w:val="ConsPlusNormal"/>
        <w:spacing w:before="28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июля 2018 г. N 269 "О внесении изменений 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утвержденный приказом Минтранса России от 21 сентября 2016 г. N 272" (зарегистрирован Минюстом России 20 августа 2018 г., регистрационный N 51936);</w:t>
      </w:r>
    </w:p>
    <w:p w:rsidR="00C428A9" w:rsidRDefault="00C428A9">
      <w:pPr>
        <w:pStyle w:val="ConsPlusNormal"/>
        <w:spacing w:before="28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5 июня 2019 г.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 (зарегистрирован Минюстом России 26 июля 2019 г., регистрационный N 55406);</w:t>
      </w:r>
    </w:p>
    <w:p w:rsidR="00C428A9" w:rsidRDefault="00C428A9">
      <w:pPr>
        <w:pStyle w:val="ConsPlusNormal"/>
        <w:spacing w:before="28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6 сентября 2021 г. N 298 "О внесении изменений в приказы Министерства транспорта Российской Федерации от 21 сентября 2016 г. N 272 и от 5 июня 2019 г. N 167" (зарегистрирован Минюстом России 21 сентября 2021 г., регистрационный N 65069);</w:t>
      </w:r>
    </w:p>
    <w:p w:rsidR="00C428A9" w:rsidRDefault="00C428A9">
      <w:pPr>
        <w:pStyle w:val="ConsPlusNormal"/>
        <w:spacing w:before="28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24 марта 2022 г. N 95 "О внесении изменений 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утвержденный приказом Министерства транспорта Российской Федерации от 21 сентября 2016 г. N 272, и Порядок выдачи специального разрешения на движение по автомобильным дорогам тяжеловесного и (или) крупногабаритного транспортного средства, утвержденный приказом Министерства транспорта Российской Федерации от 5 июня 2019 г. N 167" (зарегистрирован Минюстом России 29 апреля 2022 г., </w:t>
      </w:r>
      <w:r>
        <w:lastRenderedPageBreak/>
        <w:t>регистрационный N 68392).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3. Настоящий приказ вступает в силу с 1 марта 2023 г. и действует до 1 марта 2029 г.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jc w:val="right"/>
      </w:pPr>
      <w:r>
        <w:t>Министр</w:t>
      </w:r>
    </w:p>
    <w:p w:rsidR="00C428A9" w:rsidRDefault="00C428A9">
      <w:pPr>
        <w:pStyle w:val="ConsPlusNormal"/>
        <w:jc w:val="right"/>
      </w:pPr>
      <w:r>
        <w:t>В.Г.САВЕЛЬЕВ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jc w:val="right"/>
        <w:outlineLvl w:val="0"/>
      </w:pPr>
      <w:r>
        <w:t>Утвержден</w:t>
      </w:r>
    </w:p>
    <w:p w:rsidR="00C428A9" w:rsidRDefault="00C428A9">
      <w:pPr>
        <w:pStyle w:val="ConsPlusNormal"/>
        <w:jc w:val="right"/>
      </w:pPr>
      <w:r>
        <w:t>приказом Минтранса России</w:t>
      </w:r>
    </w:p>
    <w:p w:rsidR="00C428A9" w:rsidRDefault="00C428A9">
      <w:pPr>
        <w:pStyle w:val="ConsPlusNormal"/>
        <w:jc w:val="right"/>
      </w:pPr>
      <w:r>
        <w:t>от 18 октября 2022 г. N 418</w:t>
      </w:r>
    </w:p>
    <w:p w:rsidR="00C428A9" w:rsidRDefault="00C428A9">
      <w:pPr>
        <w:pStyle w:val="ConsPlusNormal"/>
        <w:jc w:val="both"/>
      </w:pPr>
    </w:p>
    <w:p w:rsidR="00C428A9" w:rsidRDefault="00C428A9">
      <w:pPr>
        <w:pStyle w:val="ConsPlusTitle"/>
        <w:jc w:val="center"/>
      </w:pPr>
      <w:bookmarkStart w:id="0" w:name="P35"/>
      <w:bookmarkEnd w:id="0"/>
      <w:r>
        <w:t>ПОРЯДОК</w:t>
      </w:r>
    </w:p>
    <w:p w:rsidR="00C428A9" w:rsidRDefault="00C428A9">
      <w:pPr>
        <w:pStyle w:val="ConsPlusTitle"/>
        <w:jc w:val="center"/>
      </w:pPr>
      <w:r>
        <w:t>ВЫДАЧИ СПЕЦИАЛЬНОГО РАЗРЕШЕНИЯ НА ДВИЖЕНИЕ ПО АВТОМОБИЛЬНЫМ</w:t>
      </w:r>
    </w:p>
    <w:p w:rsidR="00C428A9" w:rsidRDefault="00C428A9">
      <w:pPr>
        <w:pStyle w:val="ConsPlusTitle"/>
        <w:jc w:val="center"/>
      </w:pPr>
      <w:r>
        <w:t>ДОРОГАМ ТЯЖЕЛОВЕСНОГО И (ИЛИ) КРУПНОГАБАРИТНОГО</w:t>
      </w:r>
    </w:p>
    <w:p w:rsidR="00C428A9" w:rsidRDefault="00C428A9">
      <w:pPr>
        <w:pStyle w:val="ConsPlusTitle"/>
        <w:jc w:val="center"/>
      </w:pPr>
      <w:r>
        <w:t>ТРАНСПОРТНОГО СРЕДСТВА</w:t>
      </w:r>
    </w:p>
    <w:p w:rsidR="00C428A9" w:rsidRDefault="00C428A9">
      <w:pPr>
        <w:pStyle w:val="ConsPlusNormal"/>
        <w:jc w:val="center"/>
      </w:pPr>
    </w:p>
    <w:p w:rsidR="00C428A9" w:rsidRDefault="00C428A9">
      <w:pPr>
        <w:pStyle w:val="ConsPlusTitle"/>
        <w:jc w:val="center"/>
        <w:outlineLvl w:val="1"/>
      </w:pPr>
      <w:r>
        <w:t>I. Общие положения</w:t>
      </w:r>
    </w:p>
    <w:p w:rsidR="00C428A9" w:rsidRDefault="00C428A9">
      <w:pPr>
        <w:pStyle w:val="ConsPlusNormal"/>
        <w:jc w:val="center"/>
      </w:pPr>
    </w:p>
    <w:p w:rsidR="00C428A9" w:rsidRDefault="00C428A9">
      <w:pPr>
        <w:pStyle w:val="ConsPlusNormal"/>
        <w:ind w:firstLine="540"/>
        <w:jc w:val="both"/>
      </w:pPr>
      <w:r>
        <w:t>1. Порядок выдачи специального разрешения на движение по автомобильным дорогам тяжеловесного и (или) крупногабаритного транспортного средства (далее - Порядок) определяет правила подачи, приема и рассмотрения заявлений на выдачу специального разрешения на движение по автомобильным дорогам тяжеловесного и (или) крупногабаритного транспортного средства, согласования, оформления и выдачи (отказа в выдаче) указанного специального разрешения.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2. Специальное разрешение на движение по автомобильным дорогам тяжеловесного и (или) крупногабаритного транспортного средства (далее - специальное разрешение) выдается уполномоченным органом &lt;1&gt; владельцу транспортного средства или его уполномоченному представителю (далее - заявитель) в электронной форме и подписывается усиленной квалифицированной электронной подписью должностного лица уполномоченного орган &lt;2&gt;.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10.2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</w:t>
      </w:r>
      <w:r>
        <w:lastRenderedPageBreak/>
        <w:t xml:space="preserve">Российской Федерации" (Собрание законодательства Российской Федерации, 2007, N 46, ст. 5553; 2020, N 30, ст. 4765) (далее - Федеральный закон от 8 ноября 2007 г. N 257-ФЗ); </w:t>
      </w:r>
      <w:hyperlink r:id="rId15">
        <w:r>
          <w:rPr>
            <w:color w:val="0000FF"/>
          </w:rPr>
          <w:t>пункт 3 статьи 3</w:t>
        </w:r>
      </w:hyperlink>
      <w:r>
        <w:t xml:space="preserve"> Федерального закона от 24 июля 1998 г. N 127-ФЗ "О государственном контроле за осуществлением международных автомобильных перевозок и об ответственности за нарушение порядка их выполнения" (Собрание законодательства Российской Федерации, 1998, N 31, ст. 3805) (далее - Федеральный закон от 24 июля 1998 г. N 127-ФЗ).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Часть 1 статьи 6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2016, N 1, ст. 65).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>Специальное разрешение, выданное в электронной форме, должно быть распечатано на бумажном носителе.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3. Специальное разрешение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4. Специальное разрешение выдается на движение транспортного средства по определенному маршруту без груза или с грузом на срок до 3 месяцев.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В случае движения крупногабаритной сельскохозяйственной техники (комбайн, трактор) своим ходом в период с марта по ноябрь (включительно) в пределах одного муниципального образования специальное разрешение выдается на движение такой техники по определенному маршруту на срок до 9 месяцев. При необходимости проведения внеплановых работ, на период проведения которых не может быть обеспечено безопасное движение крупногабаритного транспортного средства, на автомобильной дороге и (или) пересекающих ее сооружениях и инженерных коммуникациях в пределах согласованного маршрута, действие такого специального разрешения на движение крупногабаритной сельскохозяйственной техники прекращается. Информация о прекращении действия специального разрешения за 14 календарных дней до прекращения его действия доводится до владельца крупногабаритной сельскохозяйственной техники или его уполномоченного представителя способом связи, выбранным согласно </w:t>
      </w:r>
      <w:hyperlink w:anchor="P86">
        <w:r>
          <w:rPr>
            <w:color w:val="0000FF"/>
          </w:rPr>
          <w:t>пункту 7</w:t>
        </w:r>
      </w:hyperlink>
      <w:r>
        <w:t xml:space="preserve"> Порядка.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В случае выдачи специального разрешения на движение транспортного средства по установленному постоянному маршруту оно выдается в упрощенном порядке &lt;3&gt; в электронной форме на 1 поездку и на срок до 1 месяца.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Часть 17 статьи 31</w:t>
        </w:r>
      </w:hyperlink>
      <w:r>
        <w:t xml:space="preserve"> Федерального закона от 8 ноября 2007 г. N 257-ФЗ (Собрание законодательства Российской Федерации, 2007, N 46, ст. 5553; 2022, N 16, ст. 2594).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bookmarkStart w:id="1" w:name="P56"/>
      <w:bookmarkEnd w:id="1"/>
      <w:r>
        <w:t>5. За выдачу специального разрешения должна быть уплачена государственная пошлина &lt;4&gt; после подачи заявления на выдачу специального разрешения (далее - заявление), но до принятия его к рассмотрению &lt;5&gt;.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Подпункт 111 пункта 1 статьи 333.33</w:t>
        </w:r>
      </w:hyperlink>
      <w:r>
        <w:t xml:space="preserve">, </w:t>
      </w:r>
      <w:hyperlink r:id="rId19">
        <w:r>
          <w:rPr>
            <w:color w:val="0000FF"/>
          </w:rPr>
          <w:t>подпункт 4 пункта 1 статьи 333.35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48, ст. 7627; 2021, N 24, ст. 4217).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&lt;5&gt; </w:t>
      </w:r>
      <w:hyperlink r:id="rId20">
        <w:r>
          <w:rPr>
            <w:color w:val="0000FF"/>
          </w:rPr>
          <w:t>Подпункт 5.2 пункта 1 статьи 333.18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2019, N 39, ст. 5375).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>6. Специальное разрешение содержит следующую информацию: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1) матричный (двухмерный) штриховой код (QR-код);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2) номер специального разрешения;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3) дату выдачи специального разрешения;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4) вид перевозки (внутрироссийская, международная);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5) количество разрешенных поездок - для тяжеловесных транспортных средств;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6) срок выполнения поездок;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7) маршрут транспортного средства;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8) сведения о допуске российского перевозчика к осуществлению международных автомобильных перевозок (в случае движения в международном сообщении);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9) сведения о транспортном средстве: марка, модель, государственный регистрационный номер, идентификационный номер, страна регистрации;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10) информация о владельце транспортного средства: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lastRenderedPageBreak/>
        <w:t>полное наименование, адрес в пределах места нахождения, телефон - для юридических лиц;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фамилия, имя, отчество (при наличии), адрес регистрации по месту жительства, телефон - для физических лиц и индивидуальных предпринимателей;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11) характеристика груза (при наличии груза): наименование груза, габариты (длина, ширина, высота), масса;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12) 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13) предполагаемая максимальная скорость движения транспортного средства (автопоезда), км/ч;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14) вид сопровождения;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15) особые условия движения;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16) сведения о владельцах автомобильных дорог, сооружений, инженерных коммуникаций, органы и организации, согласовавшие перевозку (наименования организаций, реквизиты документов о согласовании (исходящий номер и дата);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17) схема тяжеловесного и (или) крупногабаритного транспортного средства (автопоезда);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18) сведения об электронной подписи должностного лица уполномоченного органа.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Title"/>
        <w:jc w:val="center"/>
        <w:outlineLvl w:val="1"/>
      </w:pPr>
      <w:r>
        <w:t>II. Подача и рассмотрение заявления на выдачу</w:t>
      </w:r>
    </w:p>
    <w:p w:rsidR="00C428A9" w:rsidRDefault="00C428A9">
      <w:pPr>
        <w:pStyle w:val="ConsPlusTitle"/>
        <w:jc w:val="center"/>
      </w:pPr>
      <w:r>
        <w:t>специального разрешения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bookmarkStart w:id="2" w:name="P86"/>
      <w:bookmarkEnd w:id="2"/>
      <w:r>
        <w:t>7. Заявление с прилагаемыми к нему документами подается заявителем посредством личного кабинета перевозчика, доступ к которому осуществляется посредством официального сайта уполномоченного органа в информационно-телекоммуникационной сети "Интернет" (далее - личный кабинет), или федеральной государственной информационной системы "Единый портал государственных и муниципальных услуг (функций)" &lt;6&gt; (далее - Единый портал).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lastRenderedPageBreak/>
        <w:t xml:space="preserve">&lt;6&gt; </w:t>
      </w:r>
      <w:hyperlink r:id="rId2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 xml:space="preserve">В случае подачи заявления посредством Единого портала оно подписывается заявителем электронной подписью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&lt;7&gt;.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&lt;7&gt; Собрание законодательства Российской Федерации, 2011, N 15, ст. 2036; 2022, N 29, ст. 5306.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>8. Для подачи заявления посредством личного кабинета заявителю необходимо пройти процедуру регистрации и внести в него сведения о транспортном средстве.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3" w:name="P95"/>
      <w:bookmarkEnd w:id="3"/>
      <w:r>
        <w:t xml:space="preserve">9. Заявление на движение тяжеловесных и (или) крупногабаритных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 направляется способом, установленным в </w:t>
      </w:r>
      <w:hyperlink w:anchor="P86">
        <w:r>
          <w:rPr>
            <w:color w:val="0000FF"/>
          </w:rPr>
          <w:t>пункте 7</w:t>
        </w:r>
      </w:hyperlink>
      <w:r>
        <w:t xml:space="preserve"> Порядка, и рассматривается уполномоченным органом в течение 1 рабочего дня с даты его поступления.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В случае выдачи специального разрешения уполномоченным органом в соответствии с </w:t>
      </w:r>
      <w:hyperlink w:anchor="P95">
        <w:r>
          <w:rPr>
            <w:color w:val="0000FF"/>
          </w:rPr>
          <w:t>абзацем первым</w:t>
        </w:r>
      </w:hyperlink>
      <w:r>
        <w:t xml:space="preserve"> настоящего пункта, документы, предусмотренные </w:t>
      </w:r>
      <w:hyperlink w:anchor="P123">
        <w:r>
          <w:rPr>
            <w:color w:val="0000FF"/>
          </w:rPr>
          <w:t>подпунктом 1 пункта 11</w:t>
        </w:r>
      </w:hyperlink>
      <w:r>
        <w:t xml:space="preserve"> настоящего Порядка (при необходимости), а также подтверждающие уплату платежей за возмещение вреда, причиняемого автомобильным дорогам тяжеловесным транспортным средством, представляются заявителем в течение 5 рабочих дней со дня выдачи специального разрешения.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4" w:name="P97"/>
      <w:bookmarkEnd w:id="4"/>
      <w:r>
        <w:t>10. В заявлении указываются: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1) информация о заявителе: полное наименование, адрес в пределах места нахождения (для юридических лиц), фамилия, имя, отчество (при наличии), адрес регистрации по месту жительства (для физических лиц и индивидуальных предпринимателей), телефон и адрес электронной почты (при наличии);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lastRenderedPageBreak/>
        <w:t>2) информация о владельце транспортного средства: полное наименование, организационно-правовая форма и адрес регистрации в пределах места нахождения - для юридических лиц; фамилия, имя, отчество (при наличии), адрес регистрации по месту жительства, - для физических лиц и индивидуальных предпринимателей (с указанием статуса индивидуального предпринимателя);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3) идентификационный номер налогоплательщика и основной государственный регистрационный номер - для юридических лиц и индивидуальных предпринимателей, зарегистрированных на территории Российской Федерации;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4) код налогового органа в стране регистрации - для заявителей, зарегистрированных за пределами Российской Федерации;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5) маршрут движения (пункт отправления и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6) вид перевозки (внутрироссийская, международная);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7) срок выполнения поездок;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8) планируемое количество поездок (не учитывается для крупногабаритных транспортных средств);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9) характеристика груза (при наличии груза) (наименование, габариты (длина, ширина, высота), масса, делимость &lt;8&gt;;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&lt;8&gt; </w:t>
      </w:r>
      <w:hyperlink r:id="rId23">
        <w:r>
          <w:rPr>
            <w:color w:val="0000FF"/>
          </w:rPr>
          <w:t>Пункт 19 статьи 3</w:t>
        </w:r>
      </w:hyperlink>
      <w:r>
        <w:t xml:space="preserve"> Федерального закона от 8 ноября 2007 г. N 257-ФЗ (Собрание законодательства Российской Федерации, 2007, N 46, ст. 5553; 2015, N 29, ст. 4314).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>10) сведения о транспортном средстве: марка, модель, государственный регистрационный номер, идентификационный номер, страна регистрации;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11) 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12) предполагаемая максимальная скорость движения транспортного средства (автопоезда), км/ч;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lastRenderedPageBreak/>
        <w:t>13) сведения о допуске российского перевозчика к осуществлению международных автомобильных перевозок &lt;9&gt; (регистрационный номер записи в реестре и срок действия допуска) - при осуществлении международной автомобильной перевозки грузов;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&lt;9&gt; </w:t>
      </w:r>
      <w:hyperlink r:id="rId24">
        <w:r>
          <w:rPr>
            <w:color w:val="0000FF"/>
          </w:rPr>
          <w:t>Статья 2</w:t>
        </w:r>
      </w:hyperlink>
      <w:r>
        <w:t xml:space="preserve"> Федерального закона от 24 июля 1998 г. N 127-ФЗ (Собрание законодательства Российской Федерации, 1998, N 31, ст. 3805; 2022, N 16, ст. 2594).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>14) способ связи: по телефону, по электронной почте, посредством личного кабинета, посредством Единого портала.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Номер и дата присваиваются уполномоченным органом заявлению после его регистрации.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Дата начала выполнения поездок, указываемая в заявлении, не должна быть позднее 45 дней со дня подачи заявления.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11. К заявлению прилагаются: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5" w:name="P123"/>
      <w:bookmarkEnd w:id="5"/>
      <w:r>
        <w:t>1) копии документов на каждое транспортное средство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органами Государственного надзора за техническим состоянием самоходных машин и других видов техники, а также за пределами Российской Федерации);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6" w:name="P124"/>
      <w:bookmarkEnd w:id="6"/>
      <w: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 (формируется автоматически на основании данных о транспортных средствах и грузе). На схеме изображаются транспортное средство, планируемое к участию в перевозке, его габариты с грузом и крепежными элементами (при </w:t>
      </w:r>
      <w:r>
        <w:lastRenderedPageBreak/>
        <w:t>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После уплаты государственной пошлины в соответствии с </w:t>
      </w:r>
      <w:hyperlink w:anchor="P56">
        <w:r>
          <w:rPr>
            <w:color w:val="0000FF"/>
          </w:rPr>
          <w:t>пунктом 5</w:t>
        </w:r>
      </w:hyperlink>
      <w:r>
        <w:t xml:space="preserve"> Порядка заявление регистрируется в личном кабинете.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12. До получения специального разрешения заявление может быть отозвано заявителем в инициативном порядке путем направления способом, установленным в </w:t>
      </w:r>
      <w:hyperlink w:anchor="P86">
        <w:r>
          <w:rPr>
            <w:color w:val="0000FF"/>
          </w:rPr>
          <w:t>пункте 7</w:t>
        </w:r>
      </w:hyperlink>
      <w:r>
        <w:t xml:space="preserve"> Порядка, в уполномоченный орган запроса с указанием реквизитов отзываемого заявления.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13. Уполномоченный орган при рассмотрении представленных документов в течение 2 рабочих дней со дня регистрации заявления осуществляет проверку: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1) информации о государственной регистрации в качестве индивидуального предпринимателя или юридического лица (для российских перевозчиков);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2) сведений о соблюдении требований о перевозке груза, не являющегося неделимым &lt;10&gt;.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&lt;10&gt; </w:t>
      </w:r>
      <w:hyperlink r:id="rId25">
        <w:r>
          <w:rPr>
            <w:color w:val="0000FF"/>
          </w:rPr>
          <w:t>Статья 29</w:t>
        </w:r>
      </w:hyperlink>
      <w:r>
        <w:t xml:space="preserve"> Федерального закона от 8 ноября 2007 г. N 257-ФЗ (Собрание законодательства Российской Федерации, 2007, N 46, ст. 5553; 2022, N 16, ст. 2594).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Title"/>
        <w:jc w:val="center"/>
        <w:outlineLvl w:val="1"/>
      </w:pPr>
      <w:r>
        <w:t>III. Согласование маршрута тяжеловесного</w:t>
      </w:r>
    </w:p>
    <w:p w:rsidR="00C428A9" w:rsidRDefault="00C428A9">
      <w:pPr>
        <w:pStyle w:val="ConsPlusTitle"/>
        <w:jc w:val="center"/>
      </w:pPr>
      <w:r>
        <w:t>и (или) крупногабаритного транспортного средства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>14. Согласование маршрута тяжеловесного и (или) крупногабаритного транспортного средства осуществляется уполномоченным органом с владельцами автомобильных дорог, по которым проходит такой маршрут (далее - владельцы автомобильных дорог).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Уполномоченным органом осуществляется согласование маршрута тяжеловесного и (или) крупногабаритного транспортного средства с Госавтоинспекцией в случаях: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lastRenderedPageBreak/>
        <w:t>1) превышения транспортным средством установленных Правительством Российской Федерации &lt;11&gt; допустимых габаритов более чем на 2 процента;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&lt;11&gt; </w:t>
      </w:r>
      <w:hyperlink r:id="rId26">
        <w:r>
          <w:rPr>
            <w:color w:val="0000FF"/>
          </w:rPr>
          <w:t>Приложение N 1</w:t>
        </w:r>
      </w:hyperlink>
      <w:r>
        <w:t xml:space="preserve"> к Правилам перевозок грузов автомобильным транспортом, утвержденным постановлением Правительства Российской Федерации от 21 декабря 2020 г. N 2200 (Собрание законодательства Российской Федерации, 2020, N 52, ст. 8877). В соответствии с </w:t>
      </w:r>
      <w:hyperlink r:id="rId27">
        <w:r>
          <w:rPr>
            <w:color w:val="0000FF"/>
          </w:rPr>
          <w:t>пунктом 3</w:t>
        </w:r>
      </w:hyperlink>
      <w:r>
        <w:t xml:space="preserve"> постановлением Правительства Российской Федерации от 21 декабря 2020 г. N 2200 данный акт действует до 1 января 2026 г.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>2) если для движения транспортного средства требуются: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укрепление отдельных участков автомобильных дорог;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Согласование маршрута транспортного средства осуществляется посредством электронного взаимодействия с использованием электронной подписи, в том числе единой системы межведомственного электронного взаимодействия.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7" w:name="P147"/>
      <w:bookmarkEnd w:id="7"/>
      <w:r>
        <w:t>15. Уполномоченный орган в течение 2 рабочих дней со дня регистрации заявления: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1) устанавливает путь следования по заявленному маршруту;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8" w:name="P149"/>
      <w:bookmarkEnd w:id="8"/>
      <w:r>
        <w:t>2) определяет владельцев автомобильных дорог;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3) направляет в адрес определенных в соответствии с </w:t>
      </w:r>
      <w:hyperlink w:anchor="P149">
        <w:r>
          <w:rPr>
            <w:color w:val="0000FF"/>
          </w:rPr>
          <w:t>подпунктом 2</w:t>
        </w:r>
      </w:hyperlink>
      <w:r>
        <w:t xml:space="preserve"> настоящего пункта владельцев запрос на согласование маршрута тяжеловесного и (или) крупногабаритного транспортного средства.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В запросе указываются: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наименование органа, направившего запрос;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исходящий номер и дата запроса;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маршрут движения (участок маршрута);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марка и модель транспортного средства, государственный регистрационный номер транспортного средства;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lastRenderedPageBreak/>
        <w:t>предполагаемый срок поездок, а также их количество (для тяжеловесного транспортного средства);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сведения о заявителе и способе связи с ним;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номер телефона и (или) электронная почта должностного лица уполномоченного органа;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сведения об электронной подписи должностного лица уполномоченного органа.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В случаях, установленных </w:t>
      </w:r>
      <w:hyperlink w:anchor="P147">
        <w:r>
          <w:rPr>
            <w:color w:val="0000FF"/>
          </w:rPr>
          <w:t>пунктом 15</w:t>
        </w:r>
      </w:hyperlink>
      <w:r>
        <w:t xml:space="preserve"> Порядка, после согласования маршрута тяжеловесного и (или) крупногабаритного транспортного средства всеми владельцами, определенными в соответствии с </w:t>
      </w:r>
      <w:hyperlink w:anchor="P149">
        <w:r>
          <w:rPr>
            <w:color w:val="0000FF"/>
          </w:rPr>
          <w:t>подпунктом 2</w:t>
        </w:r>
      </w:hyperlink>
      <w:r>
        <w:t xml:space="preserve"> настоящего пункта, уполномоченный орган в течение 1 рабочего дня направляет запрос на согласование маршрута тяжеловесного и (или) крупногабаритного транспортного средства в адрес подразделения Госавтоинспекции на региональном уровне, с территории обслуживания которого начинается указанный маршрут (в случае согласования маршрута движения в международном сообщении, а равно маршрута движения, начинающегося с территории города Москвы и Московской области и проходящего по территории двух и более субъектов Российской Федерации, - в подразделение Госавтоинспекции на межрегиональном уровне).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Запрос в Госавтоинспекцию направляется с приложением электронных копий документов, указанных в </w:t>
      </w:r>
      <w:hyperlink w:anchor="P123">
        <w:r>
          <w:rPr>
            <w:color w:val="0000FF"/>
          </w:rPr>
          <w:t>подпунктах 1</w:t>
        </w:r>
      </w:hyperlink>
      <w:r>
        <w:t xml:space="preserve"> и </w:t>
      </w:r>
      <w:hyperlink w:anchor="P124">
        <w:r>
          <w:rPr>
            <w:color w:val="0000FF"/>
          </w:rPr>
          <w:t>2 пункта 11</w:t>
        </w:r>
      </w:hyperlink>
      <w:r>
        <w:t xml:space="preserve"> Порядка, и при необходимости электронных копий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 (далее - специальный проект). Данный запрос включает сведения о представленных согласованиях владельцев автомобильных дорог, включая сведения о согласованном ими маршруте и об указанных особых условиях движения (при наличии), в том числе особых условиях движения, указанных владельцами пересекающих автомобильную дорогу сооружений и инженерных коммуникаций (при наличии).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16. В случае если маршрут движения (участок маршрута) не проходит по </w:t>
      </w:r>
      <w:r>
        <w:lastRenderedPageBreak/>
        <w:t>автомобильным дорогам, принадлежащим владельцу автомобильных дорог, получившему запрос, то в течение 1 рабочего дня владелец автомобильных дорог информирует об этом уполномоченный орган.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9" w:name="P164"/>
      <w:bookmarkEnd w:id="9"/>
      <w:r>
        <w:t xml:space="preserve">17. Согласование маршрута тяжеловесного и (или) крупногабаритного транспортного средства проводится владельцами автомобильных дорог и Госавтоинспекцией в течение 2 рабочих дней с даты поступления от уполномоченного органа запроса, указанного в </w:t>
      </w:r>
      <w:hyperlink w:anchor="P147">
        <w:r>
          <w:rPr>
            <w:color w:val="0000FF"/>
          </w:rPr>
          <w:t>пункте 15</w:t>
        </w:r>
      </w:hyperlink>
      <w:r>
        <w:t xml:space="preserve"> Порядка.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Согласование маршрута тяжеловесного и (или) крупногабаритного транспортного средства при наличии проекта организации дорожного движения и (или) специального проекта проводится Госавтоинспекцией в течение 5 рабочих дней с даты поступления от уполномоченного органа запроса, указанного в </w:t>
      </w:r>
      <w:hyperlink w:anchor="P147">
        <w:r>
          <w:rPr>
            <w:color w:val="0000FF"/>
          </w:rPr>
          <w:t>пункте 15</w:t>
        </w:r>
      </w:hyperlink>
      <w:r>
        <w:t xml:space="preserve"> Порядка.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При согласовании маршрута тяжеловесного и (или) крупногабаритного транспортного средства владельцами автомобильных дорог определяется возможность движения тяжеловесного и (или) крупногабаритного транспортного средства, исходя из грузоподъемности и габаритов искусственных дорожных сооружений и иных сооружений, габарита приближения и несущей способности автомобильной дороги на заявленном маршруте на основании имеющихся сведений о состоянии дорог и сооружений, а также материалов оценки технического состояния автомобильных дорог, дополнительных обследований сооружений.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тяжеловесным транспортным средством &lt;12&gt; с указанием реквизитов для его оплаты.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&lt;12&gt; </w:t>
      </w:r>
      <w:hyperlink r:id="rId28">
        <w:r>
          <w:rPr>
            <w:color w:val="0000FF"/>
          </w:rPr>
          <w:t>Пункт 3</w:t>
        </w:r>
      </w:hyperlink>
      <w:r>
        <w:t xml:space="preserve"> Правил возмещения вреда, причиняемого тяжеловесными транспортными средствами, утвержденных постановлением Правительства Российской Федерации от 31 января 2020 г. N 67 (Собрание законодательства Российской Федерации, 2000, N 6, ст. 675; 2020, N 34, ст. 5449).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>При согласовании маршрута тяжеловесного и (или) крупногабаритного транспортного средства Госавтоинспекцией могут быть установлены требования к движению по такому маршруту в пунктах "Вид сопровождения" и "Особые условия движения" специального разрешения.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18. В случае необходимости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</w:t>
      </w:r>
      <w:r>
        <w:lastRenderedPageBreak/>
        <w:t>коммуникаций, владельцы автомобильных дорог направляют в течение 1 рабочего дня со дня регистрации ими запроса соответствующий запрос владельцам вышеуказанных сооружений и инженерных коммуникаций.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Согласование владельцами сооружений и инженерных коммуникаций осуществляется в течение 2 рабочих дней с даты получения ими вышеуказанного запроса.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10" w:name="P174"/>
      <w:bookmarkEnd w:id="10"/>
      <w:r>
        <w:t xml:space="preserve">19. В случае если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владелец соответствующей автомобильной дороги (участка автомобильной дороги) в течение 1 рабочего дня со дня установления соответствующих сведений выбранным заявителем согласно </w:t>
      </w:r>
      <w:hyperlink w:anchor="P97">
        <w:r>
          <w:rPr>
            <w:color w:val="0000FF"/>
          </w:rPr>
          <w:t>пункту 10</w:t>
        </w:r>
      </w:hyperlink>
      <w:r>
        <w:t xml:space="preserve"> Порядка способом связи информирует его об этом с одновременным направлением запроса о согласии на предоставление необходимых документов и (или) проведение необходимых работ, и дальнейшее согласование маршрута тяжеловесного и (или) крупногабаритного транспортного средства осуществляется в соответствии с </w:t>
      </w:r>
      <w:hyperlink w:anchor="P188">
        <w:r>
          <w:rPr>
            <w:color w:val="0000FF"/>
          </w:rPr>
          <w:t>главой IV</w:t>
        </w:r>
      </w:hyperlink>
      <w:r>
        <w:t xml:space="preserve"> Порядка.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Указанные мероприятия проводятся при выполнении хотя бы одного из следующих условий: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1) масса тяжеловесного транспортного средства превышает несущую способность участка автомобильной дороги и (или) искусственных дорожных сооружений и иных сооружений;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2) габариты крупногабаритного транспортного средства превышают габарит приближения автомобильной дороги с учетом радиуса автомобильной дороги в плане и профиле;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3) мероприятия предусмотрены </w:t>
      </w:r>
      <w:hyperlink r:id="rId29">
        <w:r>
          <w:rPr>
            <w:color w:val="0000FF"/>
          </w:rPr>
          <w:t>Требованиями</w:t>
        </w:r>
      </w:hyperlink>
      <w:r>
        <w:t xml:space="preserve"> к организации движения по автомобильным дорогам тяжеловесного и (или) крупногабаритного транспортного средства, утвержденными приказом Минтранса России от 31 августа 2020 г. N 343 &lt;13&gt; (далее - приказ N 343).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&lt;13&gt; Зарегистрирован Минюстом России 14 декабря 2020 г., регистрационный N 61442. В соответствии с </w:t>
      </w:r>
      <w:hyperlink r:id="rId30">
        <w:r>
          <w:rPr>
            <w:color w:val="0000FF"/>
          </w:rPr>
          <w:t>пунктом 2</w:t>
        </w:r>
      </w:hyperlink>
      <w:r>
        <w:t xml:space="preserve"> приказа N 343 данный акт действует до 1 января 2027 г.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 xml:space="preserve">20. Владельцы автомобильных дорог направляют в уполномоченный </w:t>
      </w:r>
      <w:r>
        <w:lastRenderedPageBreak/>
        <w:t>орган мотивированный отказ в согласовании маршрута движения тяжеловесного и (или) крупногабаритного транспортного средства или согласование альтернативного маршрута по своим автомобильным дорогам, начало и конец которого расположены на установленном уполномоченным органом маршруте,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установленному маршруту (в том числе по информации владельцев соответствующих сооружений и инженерных коммуникаций).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21. В случае движения тяжеловесного транспортного средства по установленному постоянному маршруту уполномоченным органом, осуществляющим выдачу специального разрешения по данному маршруту в упрощенном порядке, в течение 1 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В случае если выдача специальных разрешений по установленному постоянному маршруту в упрощенном порядке осуществляется уполномоченным органом, который является владельцем автомобильной дороги, на которой полностью размещается установленный постоянный маршрут, то он должен в течение 1 рабочего дня со дня регистрации заявления выбранным заявителем согласно </w:t>
      </w:r>
      <w:hyperlink w:anchor="P97">
        <w:r>
          <w:rPr>
            <w:color w:val="0000FF"/>
          </w:rPr>
          <w:t>пункту 10</w:t>
        </w:r>
      </w:hyperlink>
      <w:r>
        <w:t xml:space="preserve"> Порядка способом связи проинформировать его о размере платы в счет возмещения вреда, причиняемого тяжеловесным транспортным средством.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В случае если установленный постоянный маршрут движения тяжеловесного и (или) крупногабаритного транспортного средства, специальное разрешение на движение которого выдается в упрощенном порядке, проходит по автомобильным дорогам, принадлежащим нескольким владельцам, то владельцы таких автомобильных дорог в течение 1 рабочего дня со дня получения запроса направляют в уполномоченный орган расчет платы в счет возмещения вреда, причиняемого автомобильным дорогам тяжеловесным транспортным средством. Уполномоченный орган в течение 2 рабочих дней со дня регистрации заявления выбранным заявителем согласно </w:t>
      </w:r>
      <w:hyperlink w:anchor="P97">
        <w:r>
          <w:rPr>
            <w:color w:val="0000FF"/>
          </w:rPr>
          <w:t>пункту 10</w:t>
        </w:r>
      </w:hyperlink>
      <w:r>
        <w:t xml:space="preserve"> Порядка способом связи информирует его о размере платы в счет возмещения вреда, причиняемого тяжеловесным транспортным средством.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Запросы, указанные в настоящем пункте, должны регистрироваться владельцем автомобильной дороги в течение 1 рабочего дня с даты их поступления, в том числе в ведомственных информационных системах при использовании таких систем.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Title"/>
        <w:jc w:val="center"/>
        <w:outlineLvl w:val="1"/>
      </w:pPr>
      <w:bookmarkStart w:id="11" w:name="P188"/>
      <w:bookmarkEnd w:id="11"/>
      <w:r>
        <w:lastRenderedPageBreak/>
        <w:t>IV. Особенности согласования маршрута тяжеловесного</w:t>
      </w:r>
    </w:p>
    <w:p w:rsidR="00C428A9" w:rsidRDefault="00C428A9">
      <w:pPr>
        <w:pStyle w:val="ConsPlusTitle"/>
        <w:jc w:val="center"/>
      </w:pPr>
      <w:r>
        <w:t>и (или) крупногабаритного транспортного средства,</w:t>
      </w:r>
    </w:p>
    <w:p w:rsidR="00C428A9" w:rsidRDefault="00C428A9">
      <w:pPr>
        <w:pStyle w:val="ConsPlusTitle"/>
        <w:jc w:val="center"/>
      </w:pPr>
      <w:r>
        <w:t>для движения которого требуются разработка проекта</w:t>
      </w:r>
    </w:p>
    <w:p w:rsidR="00C428A9" w:rsidRDefault="00C428A9">
      <w:pPr>
        <w:pStyle w:val="ConsPlusTitle"/>
        <w:jc w:val="center"/>
      </w:pPr>
      <w:r>
        <w:t>организации дорожного движения, специального проекта, оценка</w:t>
      </w:r>
    </w:p>
    <w:p w:rsidR="00C428A9" w:rsidRDefault="00C428A9">
      <w:pPr>
        <w:pStyle w:val="ConsPlusTitle"/>
        <w:jc w:val="center"/>
      </w:pPr>
      <w:r>
        <w:t>технического состояния автомобильных дорог, их укрепление</w:t>
      </w:r>
    </w:p>
    <w:p w:rsidR="00C428A9" w:rsidRDefault="00C428A9">
      <w:pPr>
        <w:pStyle w:val="ConsPlusTitle"/>
        <w:jc w:val="center"/>
      </w:pPr>
      <w:r>
        <w:t>или принятие специальных мер по обустройству автомобильных</w:t>
      </w:r>
    </w:p>
    <w:p w:rsidR="00C428A9" w:rsidRDefault="00C428A9">
      <w:pPr>
        <w:pStyle w:val="ConsPlusTitle"/>
        <w:jc w:val="center"/>
      </w:pPr>
      <w:r>
        <w:t>дорог, их участков, а также пересекающих автомобильную</w:t>
      </w:r>
    </w:p>
    <w:p w:rsidR="00C428A9" w:rsidRDefault="00C428A9">
      <w:pPr>
        <w:pStyle w:val="ConsPlusTitle"/>
        <w:jc w:val="center"/>
      </w:pPr>
      <w:r>
        <w:t>дорогу сооружений и инженерных коммуникаций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bookmarkStart w:id="12" w:name="P197"/>
      <w:bookmarkEnd w:id="12"/>
      <w:r>
        <w:t xml:space="preserve">22. При поступлении заявителю запроса, указанного в </w:t>
      </w:r>
      <w:hyperlink w:anchor="P174">
        <w:r>
          <w:rPr>
            <w:color w:val="0000FF"/>
          </w:rPr>
          <w:t>пункте 19</w:t>
        </w:r>
      </w:hyperlink>
      <w:r>
        <w:t xml:space="preserve"> Порядка, заявитель в течение 5 рабочих дней должен уведомить владельца автомобильной дороги (участка автомобильной дороги), направившего запрос, о согласии на предоставление необходимых документов и (или) проведение необходимых работ.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23. Разработка и согласование проекта организации дорожного движения и (или) специального проекта с владельцами автомобильных дорог, пересекающих автомобильную дорогу сооружений и инженерных коммуникаций, а также оценка технического состояния автомобильных дорог (или их участков) и принятие специальных мер по обустройству пересекающих автомобильную дорогу сооружений и инженерных коммуникаций, обеспечиваются заявителем.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24. Рассмотрение проекта организации дорожного движения и (или) специального проекта владельцами автомобильных дорог, пересекающих автомобильную дорогу сооружений и инженерных коммуникаций, а также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срок, не превышающий 5 рабочих дней со дня поступления соответствующего запроса о согласовании.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25.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в срок, не превышающий 1 рабочего дня со дня поступления сведений о завершении таких работ, направляют в уполномоченный орган согласование маршрута тяжеловесного и (или) крупногабаритного транспортного средства по заявленному маршруту вместе с расчетом платы в счет возмещения вреда, причиняемого </w:t>
      </w:r>
      <w:r>
        <w:lastRenderedPageBreak/>
        <w:t>автомобильным дорогам тяжеловесным транспортным средством.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26.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уполномоченный орган мотивированный отказ в согласовании запроса.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Title"/>
        <w:jc w:val="center"/>
        <w:outlineLvl w:val="1"/>
      </w:pPr>
      <w:r>
        <w:t>V. Выдача специального разрешения</w:t>
      </w:r>
    </w:p>
    <w:p w:rsidR="00C428A9" w:rsidRDefault="00C428A9">
      <w:pPr>
        <w:pStyle w:val="ConsPlusNormal"/>
        <w:ind w:firstLine="540"/>
        <w:jc w:val="both"/>
      </w:pPr>
    </w:p>
    <w:p w:rsidR="00C428A9" w:rsidRDefault="00C428A9">
      <w:pPr>
        <w:pStyle w:val="ConsPlusNormal"/>
        <w:ind w:firstLine="540"/>
        <w:jc w:val="both"/>
      </w:pPr>
      <w:r>
        <w:t xml:space="preserve">27. Уполномоченный орган при получении предусмотренных Порядком согласований в срок, не превышающий 1 рабочего дня со дня поступления таких согласований, выбранным заявителем согласно </w:t>
      </w:r>
      <w:hyperlink w:anchor="P97">
        <w:r>
          <w:rPr>
            <w:color w:val="0000FF"/>
          </w:rPr>
          <w:t>пункту 10</w:t>
        </w:r>
      </w:hyperlink>
      <w:r>
        <w:t xml:space="preserve"> Порядка способом связи информирует его о размере платы в счет возмещения вреда, причиняемого автомобильным дорогам тяжеловесным транспортным средством.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Вместе с информацией о размере платы в счет возмещения вреда, причиняемого автомобильным дорогам тяжеловесным транспортным средством, уполномоченный орган направляет заявителю расчет такой платы.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28. По запросу заявителя, направленного способом, установленным в </w:t>
      </w:r>
      <w:hyperlink w:anchor="P86">
        <w:r>
          <w:rPr>
            <w:color w:val="0000FF"/>
          </w:rPr>
          <w:t>пункте 7</w:t>
        </w:r>
      </w:hyperlink>
      <w:r>
        <w:t xml:space="preserve"> Порядка, в срок, не превышающий 2 рабочих дней со дня регистрации такого запроса, в случае, если не требуется согласование маршрута транспортного средства с Госавтоинспекцией, допускается замена указанного в специальном разрешении транспортного средства на аналогичное по своим техническим характеристикам, весовым и габаритным параметрам.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Уполномоченный орган в срок, не превышающий 1 рабочего дня со дня внесения изменения в специальное разрешение, информирует владельцев автомобильных дорог, согласовавших маршрут замененного транспортного средства, о замене указанного в специальном разрешении транспортного средства на аналогичное по своим техническим характеристикам, весовым и габаритным параметрам транспортное средство с указанием его нового государственного регистрационного номера.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Для транспортных средств, зарегистрированных органами Гостехнадзора, а также за пределами Российской Федерации, необходимо к запросу приложить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lastRenderedPageBreak/>
        <w:t>29. В случае наличия установленного постоянного маршрута тяжеловесных и (или) крупногабаритных транспортных средств, срок выдачи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30. Уполномоченный орган принимает решение об отказе в выдаче специального разрешения в случаях, если: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13" w:name="P213"/>
      <w:bookmarkEnd w:id="13"/>
      <w:r>
        <w:t>1)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:rsidR="00C428A9" w:rsidRDefault="00C428A9">
      <w:pPr>
        <w:pStyle w:val="ConsPlusNormal"/>
        <w:spacing w:before="280"/>
        <w:ind w:firstLine="540"/>
        <w:jc w:val="both"/>
      </w:pPr>
      <w:bookmarkStart w:id="14" w:name="P214"/>
      <w:bookmarkEnd w:id="14"/>
      <w:r>
        <w:t>2) установленные требования о перевозке груза, не являющегося неделимым, не соблюдены;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3) сведения, предоставленные в заявлении и документах, не соответствуют техническим характеристикам транспортного средства и груза, регистрационным данным транспортного средства, а также технической возможности осуществления заявленной перевозки;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4)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искусственных дорожных сооружений и иных сооружений или инженерных коммуникаций, а также по требованиям безопасности дорожного движения;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5) отсутствует согласие заявителя, предусмотренное </w:t>
      </w:r>
      <w:hyperlink w:anchor="P197">
        <w:r>
          <w:rPr>
            <w:color w:val="0000FF"/>
          </w:rPr>
          <w:t>пунктом 22</w:t>
        </w:r>
      </w:hyperlink>
      <w:r>
        <w:t xml:space="preserve"> Порядка, на: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разработку проекта организации дорожного движения и (или) специального проекта;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проведение оценки технического состояния автомобильной дороги;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lastRenderedPageBreak/>
        <w:t>6) отсутствует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7) отсутствует допуск у российского перевозчика к осуществлению международных автомобильных перевозок (при осуществлении международной автомобильной перевозки грузов);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8) истек указанный в заявлении срок перевозки.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Уполномоченный орган в течение 1 рабочего дня со дня принятия решения об отказе в выдаче специального разрешения выбранным заявителем согласно </w:t>
      </w:r>
      <w:hyperlink w:anchor="P97">
        <w:r>
          <w:rPr>
            <w:color w:val="0000FF"/>
          </w:rPr>
          <w:t>пункту 10</w:t>
        </w:r>
      </w:hyperlink>
      <w:r>
        <w:t xml:space="preserve"> Порядка способом связи информирует его о принятом решении, указав основания принятия данного решения.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w:anchor="P213">
        <w:r>
          <w:rPr>
            <w:color w:val="0000FF"/>
          </w:rPr>
          <w:t>подпунктах 1</w:t>
        </w:r>
      </w:hyperlink>
      <w:r>
        <w:t xml:space="preserve"> и </w:t>
      </w:r>
      <w:hyperlink w:anchor="P214">
        <w:r>
          <w:rPr>
            <w:color w:val="0000FF"/>
          </w:rPr>
          <w:t>2</w:t>
        </w:r>
      </w:hyperlink>
      <w:r>
        <w:t xml:space="preserve"> настоящего пункта, выбранным заявителем согласно </w:t>
      </w:r>
      <w:hyperlink w:anchor="P95">
        <w:r>
          <w:rPr>
            <w:color w:val="0000FF"/>
          </w:rPr>
          <w:t>пункту 9</w:t>
        </w:r>
      </w:hyperlink>
      <w:r>
        <w:t xml:space="preserve"> Порядка способом связи информирует его о принятом решении в течение 4 рабочих дней со дня регистрации заявления.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31. Специальное разрешение в случае, если требуется согласование только владельцев автомобильных дорог федерального значения, и при наличии соответствующих согласований выдается в срок, не превышающий 4 рабочих дней с даты регистрации заявления, в случае необходимости согласования маршрута транспортного средства с Госавтоинспекцией - в течение 6 рабочих дней с даты регистрации заявления.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согласований, предусмотренный </w:t>
      </w:r>
      <w:hyperlink w:anchor="P164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C428A9" w:rsidRDefault="00C428A9">
      <w:pPr>
        <w:pStyle w:val="ConsPlusNormal"/>
        <w:spacing w:before="280"/>
        <w:ind w:firstLine="540"/>
        <w:jc w:val="both"/>
      </w:pPr>
      <w:r>
        <w:t xml:space="preserve">В случае согласования маршрута тяжеловесного и (или) крупногабаритного транспортного средства с владельцами пересекающих </w:t>
      </w:r>
      <w:r>
        <w:lastRenderedPageBreak/>
        <w:t xml:space="preserve">автомобильную дорогу сооружений и инженерных коммуникаций в соответствии с </w:t>
      </w:r>
      <w:hyperlink w:anchor="P174">
        <w:r>
          <w:rPr>
            <w:color w:val="0000FF"/>
          </w:rPr>
          <w:t>пунктом 19</w:t>
        </w:r>
      </w:hyperlink>
      <w:r>
        <w:t xml:space="preserve"> настоящего Порядка срок выдачи специального разрешения увеличивается на срок проведения таких согласований.</w:t>
      </w:r>
    </w:p>
    <w:p w:rsidR="00C428A9" w:rsidRDefault="00C428A9">
      <w:pPr>
        <w:pStyle w:val="ConsPlusNormal"/>
        <w:jc w:val="both"/>
      </w:pPr>
    </w:p>
    <w:p w:rsidR="00C428A9" w:rsidRDefault="00C428A9">
      <w:pPr>
        <w:pStyle w:val="ConsPlusNormal"/>
        <w:jc w:val="both"/>
      </w:pPr>
    </w:p>
    <w:p w:rsidR="00C428A9" w:rsidRDefault="00C428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D89" w:rsidRDefault="00CD0D89"/>
    <w:sectPr w:rsidR="00CD0D89" w:rsidSect="0086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revisionView w:inkAnnotations="0"/>
  <w:defaultTabStop w:val="708"/>
  <w:characterSpacingControl w:val="doNotCompress"/>
  <w:compat/>
  <w:rsids>
    <w:rsidRoot w:val="00C428A9"/>
    <w:rsid w:val="00015360"/>
    <w:rsid w:val="00033317"/>
    <w:rsid w:val="00033B1B"/>
    <w:rsid w:val="00043A71"/>
    <w:rsid w:val="00046535"/>
    <w:rsid w:val="00052BC1"/>
    <w:rsid w:val="000534FE"/>
    <w:rsid w:val="00072A88"/>
    <w:rsid w:val="00091027"/>
    <w:rsid w:val="00092B78"/>
    <w:rsid w:val="00093AAF"/>
    <w:rsid w:val="000A16BC"/>
    <w:rsid w:val="000A4F4F"/>
    <w:rsid w:val="000A577D"/>
    <w:rsid w:val="000B24E4"/>
    <w:rsid w:val="000B451F"/>
    <w:rsid w:val="000C37C9"/>
    <w:rsid w:val="000D3F65"/>
    <w:rsid w:val="000F0CCA"/>
    <w:rsid w:val="000F1D4C"/>
    <w:rsid w:val="001028D4"/>
    <w:rsid w:val="00104721"/>
    <w:rsid w:val="0010673C"/>
    <w:rsid w:val="0010687D"/>
    <w:rsid w:val="00111BA3"/>
    <w:rsid w:val="00122F63"/>
    <w:rsid w:val="0013739A"/>
    <w:rsid w:val="0015157F"/>
    <w:rsid w:val="00151618"/>
    <w:rsid w:val="00164477"/>
    <w:rsid w:val="001733A7"/>
    <w:rsid w:val="001807B7"/>
    <w:rsid w:val="00183E9F"/>
    <w:rsid w:val="00185408"/>
    <w:rsid w:val="00187A10"/>
    <w:rsid w:val="00191004"/>
    <w:rsid w:val="00197526"/>
    <w:rsid w:val="001A3AE9"/>
    <w:rsid w:val="001A6980"/>
    <w:rsid w:val="001B1DF3"/>
    <w:rsid w:val="001B3C44"/>
    <w:rsid w:val="001B4372"/>
    <w:rsid w:val="001B6324"/>
    <w:rsid w:val="001D7F02"/>
    <w:rsid w:val="002151A7"/>
    <w:rsid w:val="00222067"/>
    <w:rsid w:val="002339D2"/>
    <w:rsid w:val="00251DD5"/>
    <w:rsid w:val="00252E71"/>
    <w:rsid w:val="002537C1"/>
    <w:rsid w:val="00260B98"/>
    <w:rsid w:val="00264DD1"/>
    <w:rsid w:val="0027313D"/>
    <w:rsid w:val="00297CEE"/>
    <w:rsid w:val="002A3AFB"/>
    <w:rsid w:val="002A426D"/>
    <w:rsid w:val="002A6F41"/>
    <w:rsid w:val="002B3913"/>
    <w:rsid w:val="002B7314"/>
    <w:rsid w:val="002C33E9"/>
    <w:rsid w:val="002C3465"/>
    <w:rsid w:val="002D2509"/>
    <w:rsid w:val="002D4B73"/>
    <w:rsid w:val="002E1630"/>
    <w:rsid w:val="002F7D28"/>
    <w:rsid w:val="00310B8B"/>
    <w:rsid w:val="00314F71"/>
    <w:rsid w:val="003152CD"/>
    <w:rsid w:val="003254F1"/>
    <w:rsid w:val="00336819"/>
    <w:rsid w:val="003620B6"/>
    <w:rsid w:val="003635E0"/>
    <w:rsid w:val="00373CF8"/>
    <w:rsid w:val="00387E6C"/>
    <w:rsid w:val="0039124A"/>
    <w:rsid w:val="00394B41"/>
    <w:rsid w:val="003B0F46"/>
    <w:rsid w:val="003B1B01"/>
    <w:rsid w:val="003B1D66"/>
    <w:rsid w:val="003C0701"/>
    <w:rsid w:val="003C2404"/>
    <w:rsid w:val="003C6407"/>
    <w:rsid w:val="003D49FF"/>
    <w:rsid w:val="003D4E25"/>
    <w:rsid w:val="003D5D63"/>
    <w:rsid w:val="003F1771"/>
    <w:rsid w:val="003F4B3C"/>
    <w:rsid w:val="00410D01"/>
    <w:rsid w:val="00430C1A"/>
    <w:rsid w:val="00434835"/>
    <w:rsid w:val="00446B66"/>
    <w:rsid w:val="00462EBF"/>
    <w:rsid w:val="00475ED9"/>
    <w:rsid w:val="0048456D"/>
    <w:rsid w:val="004869E3"/>
    <w:rsid w:val="0049164E"/>
    <w:rsid w:val="00495E75"/>
    <w:rsid w:val="004A0566"/>
    <w:rsid w:val="004A11A3"/>
    <w:rsid w:val="004A41B5"/>
    <w:rsid w:val="004A701C"/>
    <w:rsid w:val="004C71C4"/>
    <w:rsid w:val="004C7D41"/>
    <w:rsid w:val="00502BEB"/>
    <w:rsid w:val="005101A8"/>
    <w:rsid w:val="0051163C"/>
    <w:rsid w:val="0051221F"/>
    <w:rsid w:val="00512B7F"/>
    <w:rsid w:val="00520736"/>
    <w:rsid w:val="00520ACD"/>
    <w:rsid w:val="0052226E"/>
    <w:rsid w:val="00523080"/>
    <w:rsid w:val="005263D8"/>
    <w:rsid w:val="00536247"/>
    <w:rsid w:val="00586EDF"/>
    <w:rsid w:val="00593BA2"/>
    <w:rsid w:val="005B423A"/>
    <w:rsid w:val="005B57E2"/>
    <w:rsid w:val="005D7250"/>
    <w:rsid w:val="005E076A"/>
    <w:rsid w:val="005E2553"/>
    <w:rsid w:val="005E3BDB"/>
    <w:rsid w:val="005E4D68"/>
    <w:rsid w:val="005F1CF9"/>
    <w:rsid w:val="005F4DAF"/>
    <w:rsid w:val="00613644"/>
    <w:rsid w:val="00634712"/>
    <w:rsid w:val="0064104E"/>
    <w:rsid w:val="006916E1"/>
    <w:rsid w:val="0069646B"/>
    <w:rsid w:val="006B1507"/>
    <w:rsid w:val="006C0815"/>
    <w:rsid w:val="006C0C32"/>
    <w:rsid w:val="006C3AE7"/>
    <w:rsid w:val="006D342C"/>
    <w:rsid w:val="006D3C6E"/>
    <w:rsid w:val="006D432F"/>
    <w:rsid w:val="006E4226"/>
    <w:rsid w:val="006F1737"/>
    <w:rsid w:val="006F6936"/>
    <w:rsid w:val="00703892"/>
    <w:rsid w:val="0071448E"/>
    <w:rsid w:val="007202F1"/>
    <w:rsid w:val="00731D28"/>
    <w:rsid w:val="0074193F"/>
    <w:rsid w:val="0074504E"/>
    <w:rsid w:val="0074650F"/>
    <w:rsid w:val="00751DC0"/>
    <w:rsid w:val="00755FE8"/>
    <w:rsid w:val="00766A64"/>
    <w:rsid w:val="00771991"/>
    <w:rsid w:val="007726F6"/>
    <w:rsid w:val="00774540"/>
    <w:rsid w:val="00786A43"/>
    <w:rsid w:val="007933E9"/>
    <w:rsid w:val="007A4585"/>
    <w:rsid w:val="007B39A7"/>
    <w:rsid w:val="007B5B8C"/>
    <w:rsid w:val="007C0247"/>
    <w:rsid w:val="007C79CA"/>
    <w:rsid w:val="007D1A4C"/>
    <w:rsid w:val="007D20F1"/>
    <w:rsid w:val="007E0E9E"/>
    <w:rsid w:val="007F051B"/>
    <w:rsid w:val="007F390F"/>
    <w:rsid w:val="007F7628"/>
    <w:rsid w:val="00810F80"/>
    <w:rsid w:val="00814677"/>
    <w:rsid w:val="00822063"/>
    <w:rsid w:val="008254DB"/>
    <w:rsid w:val="008330FB"/>
    <w:rsid w:val="00835DBE"/>
    <w:rsid w:val="00841425"/>
    <w:rsid w:val="00841BF9"/>
    <w:rsid w:val="00846593"/>
    <w:rsid w:val="008561AD"/>
    <w:rsid w:val="00867993"/>
    <w:rsid w:val="00870E48"/>
    <w:rsid w:val="00880450"/>
    <w:rsid w:val="008846BA"/>
    <w:rsid w:val="00885268"/>
    <w:rsid w:val="00893166"/>
    <w:rsid w:val="00896C89"/>
    <w:rsid w:val="008A5317"/>
    <w:rsid w:val="008B2092"/>
    <w:rsid w:val="008B368D"/>
    <w:rsid w:val="008B3DE1"/>
    <w:rsid w:val="008B787F"/>
    <w:rsid w:val="008C3629"/>
    <w:rsid w:val="008C6826"/>
    <w:rsid w:val="008D114B"/>
    <w:rsid w:val="008D152B"/>
    <w:rsid w:val="008D7FA6"/>
    <w:rsid w:val="008E2AD2"/>
    <w:rsid w:val="008F016D"/>
    <w:rsid w:val="00903D81"/>
    <w:rsid w:val="009107C6"/>
    <w:rsid w:val="00921765"/>
    <w:rsid w:val="00933830"/>
    <w:rsid w:val="00935226"/>
    <w:rsid w:val="009572C4"/>
    <w:rsid w:val="00957B89"/>
    <w:rsid w:val="00962706"/>
    <w:rsid w:val="00962B6F"/>
    <w:rsid w:val="00967A23"/>
    <w:rsid w:val="009714A7"/>
    <w:rsid w:val="0097298D"/>
    <w:rsid w:val="00974260"/>
    <w:rsid w:val="009761C0"/>
    <w:rsid w:val="00977440"/>
    <w:rsid w:val="009A33A3"/>
    <w:rsid w:val="009C6183"/>
    <w:rsid w:val="009D2BE1"/>
    <w:rsid w:val="009E394D"/>
    <w:rsid w:val="009E623D"/>
    <w:rsid w:val="009F06A8"/>
    <w:rsid w:val="009F5372"/>
    <w:rsid w:val="009F61D6"/>
    <w:rsid w:val="00A02F29"/>
    <w:rsid w:val="00A11680"/>
    <w:rsid w:val="00A13095"/>
    <w:rsid w:val="00A310A1"/>
    <w:rsid w:val="00A450AD"/>
    <w:rsid w:val="00A45695"/>
    <w:rsid w:val="00A474DB"/>
    <w:rsid w:val="00A6042B"/>
    <w:rsid w:val="00A639E1"/>
    <w:rsid w:val="00A643E0"/>
    <w:rsid w:val="00A70BC2"/>
    <w:rsid w:val="00A726A6"/>
    <w:rsid w:val="00A751AE"/>
    <w:rsid w:val="00A80293"/>
    <w:rsid w:val="00A838C7"/>
    <w:rsid w:val="00A97A6F"/>
    <w:rsid w:val="00AA38C5"/>
    <w:rsid w:val="00AA6729"/>
    <w:rsid w:val="00AA72D6"/>
    <w:rsid w:val="00AB6E89"/>
    <w:rsid w:val="00AE26A1"/>
    <w:rsid w:val="00AE6FBC"/>
    <w:rsid w:val="00AF23B9"/>
    <w:rsid w:val="00B04AB6"/>
    <w:rsid w:val="00B06906"/>
    <w:rsid w:val="00B13588"/>
    <w:rsid w:val="00B20F7A"/>
    <w:rsid w:val="00B2666D"/>
    <w:rsid w:val="00B36BEB"/>
    <w:rsid w:val="00B40264"/>
    <w:rsid w:val="00B42A8D"/>
    <w:rsid w:val="00B519AE"/>
    <w:rsid w:val="00B57BD4"/>
    <w:rsid w:val="00B64378"/>
    <w:rsid w:val="00B8007B"/>
    <w:rsid w:val="00B827E5"/>
    <w:rsid w:val="00B90BDA"/>
    <w:rsid w:val="00BA6D3B"/>
    <w:rsid w:val="00BB4F55"/>
    <w:rsid w:val="00BB6C75"/>
    <w:rsid w:val="00BE3724"/>
    <w:rsid w:val="00BF3B1A"/>
    <w:rsid w:val="00BF4C67"/>
    <w:rsid w:val="00C01B9D"/>
    <w:rsid w:val="00C140C5"/>
    <w:rsid w:val="00C14D9F"/>
    <w:rsid w:val="00C21FFB"/>
    <w:rsid w:val="00C257AF"/>
    <w:rsid w:val="00C31288"/>
    <w:rsid w:val="00C428A9"/>
    <w:rsid w:val="00C45DC7"/>
    <w:rsid w:val="00C46B8D"/>
    <w:rsid w:val="00C51542"/>
    <w:rsid w:val="00C6510C"/>
    <w:rsid w:val="00C654FE"/>
    <w:rsid w:val="00CA6CA2"/>
    <w:rsid w:val="00CB5464"/>
    <w:rsid w:val="00CC029C"/>
    <w:rsid w:val="00CC0F96"/>
    <w:rsid w:val="00CD0D89"/>
    <w:rsid w:val="00CD0E38"/>
    <w:rsid w:val="00CF3AF3"/>
    <w:rsid w:val="00D06BCD"/>
    <w:rsid w:val="00D06D81"/>
    <w:rsid w:val="00D10A07"/>
    <w:rsid w:val="00D112C1"/>
    <w:rsid w:val="00D1155F"/>
    <w:rsid w:val="00D122E7"/>
    <w:rsid w:val="00D23D2F"/>
    <w:rsid w:val="00D325B5"/>
    <w:rsid w:val="00D340FB"/>
    <w:rsid w:val="00D4389E"/>
    <w:rsid w:val="00D44615"/>
    <w:rsid w:val="00D52109"/>
    <w:rsid w:val="00D63CF3"/>
    <w:rsid w:val="00D7519D"/>
    <w:rsid w:val="00D85012"/>
    <w:rsid w:val="00D9235D"/>
    <w:rsid w:val="00D97F91"/>
    <w:rsid w:val="00DA4ED2"/>
    <w:rsid w:val="00DA711E"/>
    <w:rsid w:val="00DB0BF8"/>
    <w:rsid w:val="00DB3FFB"/>
    <w:rsid w:val="00DB509D"/>
    <w:rsid w:val="00DB524F"/>
    <w:rsid w:val="00DC14A4"/>
    <w:rsid w:val="00DC33D3"/>
    <w:rsid w:val="00DD21A7"/>
    <w:rsid w:val="00DD21A8"/>
    <w:rsid w:val="00DE3C5C"/>
    <w:rsid w:val="00DF32F3"/>
    <w:rsid w:val="00E0204C"/>
    <w:rsid w:val="00E13340"/>
    <w:rsid w:val="00E2203A"/>
    <w:rsid w:val="00E2270A"/>
    <w:rsid w:val="00E25997"/>
    <w:rsid w:val="00E367CA"/>
    <w:rsid w:val="00E4510C"/>
    <w:rsid w:val="00E45304"/>
    <w:rsid w:val="00E5620E"/>
    <w:rsid w:val="00E62B8B"/>
    <w:rsid w:val="00E62B9B"/>
    <w:rsid w:val="00E7494A"/>
    <w:rsid w:val="00E859C5"/>
    <w:rsid w:val="00E864A7"/>
    <w:rsid w:val="00E901F3"/>
    <w:rsid w:val="00E92405"/>
    <w:rsid w:val="00EA45BC"/>
    <w:rsid w:val="00EA4D95"/>
    <w:rsid w:val="00EB2A8D"/>
    <w:rsid w:val="00EB33C6"/>
    <w:rsid w:val="00EB6C1D"/>
    <w:rsid w:val="00ED125E"/>
    <w:rsid w:val="00ED5D00"/>
    <w:rsid w:val="00EE084B"/>
    <w:rsid w:val="00EE5A9F"/>
    <w:rsid w:val="00EF0E26"/>
    <w:rsid w:val="00F1521D"/>
    <w:rsid w:val="00F22197"/>
    <w:rsid w:val="00F30A59"/>
    <w:rsid w:val="00F32D85"/>
    <w:rsid w:val="00F438CE"/>
    <w:rsid w:val="00F537E7"/>
    <w:rsid w:val="00F53CE3"/>
    <w:rsid w:val="00F66FCE"/>
    <w:rsid w:val="00F73559"/>
    <w:rsid w:val="00F73A20"/>
    <w:rsid w:val="00F838D5"/>
    <w:rsid w:val="00FB5051"/>
    <w:rsid w:val="00FC0506"/>
    <w:rsid w:val="00FC222D"/>
    <w:rsid w:val="00FD6222"/>
    <w:rsid w:val="00FE0779"/>
    <w:rsid w:val="00FE362D"/>
    <w:rsid w:val="00FE6781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8A9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C428A9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C428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0A4373B700A4B3479CFC9FB0B1519B8D5F9252E29EDCB229EEBF38E71C74A84F1FB7D7844500CB2D2D38582F93EE1B2F587BBC977i6E" TargetMode="External"/><Relationship Id="rId13" Type="http://schemas.openxmlformats.org/officeDocument/2006/relationships/hyperlink" Target="consultantplus://offline/ref=BC20A4373B700A4B3479CFC9FB0B1519B8D7FD272C2BEDCB229EEBF38E71C74A96F1A3717A464558E6888488807FiEE" TargetMode="External"/><Relationship Id="rId18" Type="http://schemas.openxmlformats.org/officeDocument/2006/relationships/hyperlink" Target="consultantplus://offline/ref=BC20A4373B700A4B3479CFC9FB0B1519B8D2FD27242CEDCB229EEBF38E71C74A84F1FB7E7A425D5CE8C2D7CCD7F020E5A9EB80A5C975E37Ei4E" TargetMode="External"/><Relationship Id="rId26" Type="http://schemas.openxmlformats.org/officeDocument/2006/relationships/hyperlink" Target="consultantplus://offline/ref=BC20A4373B700A4B3479CFC9FB0B1519B8D5FD212528EDCB229EEBF38E71C74A84F1FB7D7A425959EA9DD2D9C6A82DE1B3F585BED577E1E579i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20A4373B700A4B3479CFC9FB0B1519B8D2F9222C2BEDCB229EEBF38E71C74A84F1FB7D7A425A5FE09DD2D9C6A82DE1B3F585BED577E1E579i5E" TargetMode="External"/><Relationship Id="rId7" Type="http://schemas.openxmlformats.org/officeDocument/2006/relationships/hyperlink" Target="consultantplus://offline/ref=BC20A4373B700A4B3479CFC9FB0B1519B8D2FD272B2AEDCB229EEBF38E71C74A84F1FB7D7F45500CB2D2D38582F93EE1B2F587BBC977i6E" TargetMode="External"/><Relationship Id="rId12" Type="http://schemas.openxmlformats.org/officeDocument/2006/relationships/hyperlink" Target="consultantplus://offline/ref=BC20A4373B700A4B3479CFC9FB0B1519BFDFFE2E2B2DEDCB229EEBF38E71C74A96F1A3717A464558E6888488807FiEE" TargetMode="External"/><Relationship Id="rId17" Type="http://schemas.openxmlformats.org/officeDocument/2006/relationships/hyperlink" Target="consultantplus://offline/ref=BC20A4373B700A4B3479CFC9FB0B1519B8D2FD27252BEDCB229EEBF38E71C74A84F1FB7D7A425C5FE59DD2D9C6A82DE1B3F585BED577E1E579i5E" TargetMode="External"/><Relationship Id="rId25" Type="http://schemas.openxmlformats.org/officeDocument/2006/relationships/hyperlink" Target="consultantplus://offline/ref=BC20A4373B700A4B3479CFC9FB0B1519B8D2FD27252BEDCB229EEBF38E71C74A84F1FB7D7A425859EB9DD2D9C6A82DE1B3F585BED577E1E579i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20A4373B700A4B3479CFC9FB0B1519B8D5FE2E2428EDCB229EEBF38E71C74A84F1FB7D7A490F09A7C38B8886E320E4A9E985B97Ci8E" TargetMode="External"/><Relationship Id="rId20" Type="http://schemas.openxmlformats.org/officeDocument/2006/relationships/hyperlink" Target="consultantplus://offline/ref=BC20A4373B700A4B3479CFC9FB0B1519B8D2FD27242CEDCB229EEBF38E71C74A84F1FB7D72415958E8C2D7CCD7F020E5A9EB80A5C975E37Ei4E" TargetMode="External"/><Relationship Id="rId29" Type="http://schemas.openxmlformats.org/officeDocument/2006/relationships/hyperlink" Target="consultantplus://offline/ref=BC20A4373B700A4B3479CFC9FB0B1519BFD1FB2E2C29EDCB229EEBF38E71C74A84F1FB7D7A425B59E39DD2D9C6A82DE1B3F585BED577E1E579i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0A4373B700A4B3479CFC9FB0B1519B8D2FD27252BEDCB229EEBF38E71C74A84F1FB7D7A425C5FE69DD2D9C6A82DE1B3F585BED577E1E579i5E" TargetMode="External"/><Relationship Id="rId11" Type="http://schemas.openxmlformats.org/officeDocument/2006/relationships/hyperlink" Target="consultantplus://offline/ref=BC20A4373B700A4B3479CFC9FB0B1519B8D7FD222927EDCB229EEBF38E71C74A96F1A3717A464558E6888488807FiEE" TargetMode="External"/><Relationship Id="rId24" Type="http://schemas.openxmlformats.org/officeDocument/2006/relationships/hyperlink" Target="consultantplus://offline/ref=BC20A4373B700A4B3479CFC9FB0B1519B8D2FD272B2AEDCB229EEBF38E71C74A84F1FB787C490F09A7C38B8886E320E4A9E985B97Ci8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C20A4373B700A4B3479CFC9FB0B1519B8D2FD27252BEDCB229EEBF38E71C74A84F1FB747E490F09A7C38B8886E320E4A9E985B97Ci8E" TargetMode="External"/><Relationship Id="rId15" Type="http://schemas.openxmlformats.org/officeDocument/2006/relationships/hyperlink" Target="consultantplus://offline/ref=BC20A4373B700A4B3479CFC9FB0B1519B8D2FD272B2AEDCB229EEBF38E71C74A84F1FB7A7C490F09A7C38B8886E320E4A9E985B97Ci8E" TargetMode="External"/><Relationship Id="rId23" Type="http://schemas.openxmlformats.org/officeDocument/2006/relationships/hyperlink" Target="consultantplus://offline/ref=BC20A4373B700A4B3479CFC9FB0B1519B8D2FD27252BEDCB229EEBF38E71C74A84F1FB747A490F09A7C38B8886E320E4A9E985B97Ci8E" TargetMode="External"/><Relationship Id="rId28" Type="http://schemas.openxmlformats.org/officeDocument/2006/relationships/hyperlink" Target="consultantplus://offline/ref=BC20A4373B700A4B3479CFC9FB0B1519BFD0FD252C2FEDCB229EEBF38E71C74A84F1FB7D7A425B59EB9DD2D9C6A82DE1B3F585BED577E1E579i5E" TargetMode="External"/><Relationship Id="rId10" Type="http://schemas.openxmlformats.org/officeDocument/2006/relationships/hyperlink" Target="consultantplus://offline/ref=BC20A4373B700A4B3479CFC9FB0B1519BFD6FE242C29EDCB229EEBF38E71C74A96F1A3717A464558E6888488807FiEE" TargetMode="External"/><Relationship Id="rId19" Type="http://schemas.openxmlformats.org/officeDocument/2006/relationships/hyperlink" Target="consultantplus://offline/ref=BC20A4373B700A4B3479CFC9FB0B1519B8D2FD27242CEDCB229EEBF38E71C74A84F1FB7E7A475959E8C2D7CCD7F020E5A9EB80A5C975E37Ei4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20A4373B700A4B3479CFC9FB0B1519B8D7FD27282BEDCB229EEBF38E71C74A96F1A3717A464558E6888488807FiEE" TargetMode="External"/><Relationship Id="rId14" Type="http://schemas.openxmlformats.org/officeDocument/2006/relationships/hyperlink" Target="consultantplus://offline/ref=BC20A4373B700A4B3479CFC9FB0B1519B8D2FD27252BEDCB229EEBF38E71C74A84F1FB7F7841500CB2D2D38582F93EE1B2F587BBC977i6E" TargetMode="External"/><Relationship Id="rId22" Type="http://schemas.openxmlformats.org/officeDocument/2006/relationships/hyperlink" Target="consultantplus://offline/ref=BC20A4373B700A4B3479CFC9FB0B1519B8D5FE2E2428EDCB229EEBF38E71C74A96F1A3717A464558E6888488807FiEE" TargetMode="External"/><Relationship Id="rId27" Type="http://schemas.openxmlformats.org/officeDocument/2006/relationships/hyperlink" Target="consultantplus://offline/ref=BC20A4373B700A4B3479CFC9FB0B1519B8D5FD212528EDCB229EEBF38E71C74A84F1FB7D71160A1CB69B868C9CFD25FFB5EB877Bi8E" TargetMode="External"/><Relationship Id="rId30" Type="http://schemas.openxmlformats.org/officeDocument/2006/relationships/hyperlink" Target="consultantplus://offline/ref=BC20A4373B700A4B3479CFC9FB0B1519BFD1FB2E2C29EDCB229EEBF38E71C74A84F1FB7D7A425B59E09DD2D9C6A82DE1B3F585BED577E1E579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6664</Words>
  <Characters>37986</Characters>
  <Application>Microsoft Office Word</Application>
  <DocSecurity>0</DocSecurity>
  <Lines>316</Lines>
  <Paragraphs>89</Paragraphs>
  <ScaleCrop>false</ScaleCrop>
  <Company/>
  <LinksUpToDate>false</LinksUpToDate>
  <CharactersWithSpaces>44561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</dc:creator>
  <cp:lastModifiedBy>Жбанов</cp:lastModifiedBy>
  <cp:revision>1</cp:revision>
  <dcterms:created xsi:type="dcterms:W3CDTF">2023-05-04T04:34:00Z</dcterms:created>
  <dcterms:modified xsi:type="dcterms:W3CDTF">2023-05-04T04:36:00Z</dcterms:modified>
</cp:coreProperties>
</file>